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4229" w14:textId="77777777" w:rsidR="00D26AC2" w:rsidRPr="00F42CD5" w:rsidRDefault="00D26AC2" w:rsidP="00D26AC2">
      <w:pPr>
        <w:rPr>
          <w:rFonts w:ascii="Garamond" w:hAnsi="Garamond" w:cs="Calibri"/>
          <w:sz w:val="22"/>
          <w:szCs w:val="22"/>
        </w:rPr>
      </w:pPr>
    </w:p>
    <w:p w14:paraId="7191EAA5" w14:textId="77777777" w:rsidR="00D26AC2" w:rsidRPr="00F42CD5" w:rsidRDefault="00D26AC2" w:rsidP="00D26AC2">
      <w:pPr>
        <w:rPr>
          <w:rFonts w:ascii="Garamond" w:hAnsi="Garamond" w:cs="Calibri"/>
          <w:sz w:val="22"/>
          <w:szCs w:val="22"/>
        </w:rPr>
      </w:pPr>
    </w:p>
    <w:p w14:paraId="05E3AE49" w14:textId="77777777" w:rsidR="00D26AC2" w:rsidRPr="00F42CD5" w:rsidRDefault="00D26AC2" w:rsidP="00D26AC2">
      <w:pPr>
        <w:rPr>
          <w:rFonts w:ascii="Garamond" w:hAnsi="Garamond" w:cs="Calibri"/>
          <w:b/>
          <w:color w:val="321900"/>
          <w:sz w:val="22"/>
          <w:szCs w:val="22"/>
        </w:rPr>
      </w:pPr>
      <w:r w:rsidRPr="00F42CD5">
        <w:rPr>
          <w:rFonts w:ascii="Garamond" w:hAnsi="Garamond" w:cs="Calibri"/>
          <w:sz w:val="22"/>
          <w:szCs w:val="22"/>
        </w:rPr>
        <w:tab/>
      </w:r>
      <w:r w:rsidRPr="00F42CD5">
        <w:rPr>
          <w:rFonts w:ascii="Garamond" w:hAnsi="Garamond" w:cs="Calibri"/>
          <w:sz w:val="22"/>
          <w:szCs w:val="22"/>
        </w:rPr>
        <w:tab/>
      </w:r>
      <w:r w:rsidRPr="00F42CD5">
        <w:rPr>
          <w:rFonts w:ascii="Garamond" w:hAnsi="Garamond" w:cs="Calibri"/>
          <w:sz w:val="22"/>
          <w:szCs w:val="22"/>
        </w:rPr>
        <w:tab/>
      </w:r>
      <w:r w:rsidRPr="00F42CD5">
        <w:rPr>
          <w:rFonts w:ascii="Garamond" w:hAnsi="Garamond" w:cs="Calibri"/>
          <w:color w:val="321900"/>
          <w:sz w:val="22"/>
          <w:szCs w:val="22"/>
        </w:rPr>
        <w:tab/>
      </w:r>
      <w:r w:rsidRPr="00F42CD5">
        <w:rPr>
          <w:rFonts w:ascii="Garamond" w:hAnsi="Garamond" w:cs="Calibri"/>
          <w:color w:val="321900"/>
          <w:sz w:val="22"/>
          <w:szCs w:val="22"/>
        </w:rPr>
        <w:tab/>
      </w:r>
      <w:r w:rsidRPr="00F42CD5">
        <w:rPr>
          <w:rFonts w:ascii="Garamond" w:hAnsi="Garamond" w:cs="Calibri"/>
          <w:b/>
          <w:color w:val="321900"/>
          <w:sz w:val="22"/>
          <w:szCs w:val="22"/>
        </w:rPr>
        <w:tab/>
      </w:r>
      <w:r w:rsidRPr="00F42CD5">
        <w:rPr>
          <w:rFonts w:ascii="Garamond" w:hAnsi="Garamond" w:cs="Calibri"/>
          <w:b/>
          <w:color w:val="321900"/>
          <w:sz w:val="22"/>
          <w:szCs w:val="22"/>
        </w:rPr>
        <w:tab/>
      </w:r>
      <w:r w:rsidRPr="00F42CD5">
        <w:rPr>
          <w:rFonts w:ascii="Garamond" w:hAnsi="Garamond" w:cs="Calibri"/>
          <w:b/>
          <w:color w:val="321900"/>
          <w:sz w:val="22"/>
          <w:szCs w:val="22"/>
        </w:rPr>
        <w:tab/>
      </w:r>
      <w:r w:rsidRPr="00F42CD5">
        <w:rPr>
          <w:rFonts w:ascii="Garamond" w:hAnsi="Garamond" w:cs="Calibri"/>
          <w:b/>
          <w:color w:val="321900"/>
          <w:sz w:val="22"/>
          <w:szCs w:val="22"/>
        </w:rPr>
        <w:tab/>
      </w:r>
      <w:r w:rsidRPr="00F42CD5">
        <w:rPr>
          <w:rFonts w:ascii="Garamond" w:hAnsi="Garamond" w:cs="Calibri"/>
          <w:b/>
          <w:color w:val="321900"/>
          <w:sz w:val="22"/>
          <w:szCs w:val="22"/>
        </w:rPr>
        <w:tab/>
      </w:r>
      <w:r w:rsidRPr="00F42CD5">
        <w:rPr>
          <w:rFonts w:ascii="Garamond" w:hAnsi="Garamond" w:cs="Calibri"/>
          <w:b/>
          <w:color w:val="321900"/>
          <w:sz w:val="22"/>
          <w:szCs w:val="22"/>
        </w:rPr>
        <w:tab/>
      </w:r>
    </w:p>
    <w:p w14:paraId="0AA1E131" w14:textId="77777777" w:rsidR="00D26AC2" w:rsidRPr="00F42CD5" w:rsidRDefault="00D26AC2" w:rsidP="00D26AC2">
      <w:pPr>
        <w:autoSpaceDE w:val="0"/>
        <w:autoSpaceDN w:val="0"/>
        <w:adjustRightInd w:val="0"/>
        <w:ind w:left="720" w:right="180"/>
        <w:jc w:val="center"/>
        <w:rPr>
          <w:rFonts w:ascii="Garamond" w:hAnsi="Garamond" w:cs="Garamond"/>
          <w:color w:val="1D1B11"/>
          <w:sz w:val="22"/>
          <w:szCs w:val="22"/>
        </w:rPr>
      </w:pPr>
    </w:p>
    <w:p w14:paraId="7F48D0E4" w14:textId="77777777" w:rsidR="00D26AC2" w:rsidRDefault="00D26AC2" w:rsidP="00D26AC2">
      <w:pPr>
        <w:autoSpaceDE w:val="0"/>
        <w:autoSpaceDN w:val="0"/>
        <w:adjustRightInd w:val="0"/>
        <w:ind w:right="180"/>
        <w:rPr>
          <w:rFonts w:ascii="Garamond" w:hAnsi="Garamond" w:cs="AGaramondPro-Bold"/>
          <w:b/>
          <w:bCs/>
          <w:color w:val="1D1B11"/>
        </w:rPr>
      </w:pPr>
    </w:p>
    <w:p w14:paraId="03C718DD" w14:textId="77777777" w:rsidR="00D26AC2" w:rsidRDefault="00D26AC2" w:rsidP="00D26AC2">
      <w:pPr>
        <w:autoSpaceDE w:val="0"/>
        <w:autoSpaceDN w:val="0"/>
        <w:adjustRightInd w:val="0"/>
        <w:ind w:right="180"/>
        <w:jc w:val="both"/>
        <w:rPr>
          <w:rFonts w:ascii="Garamond" w:hAnsi="Garamond" w:cs="AGaramondPro-Bold"/>
          <w:b/>
          <w:bCs/>
          <w:color w:val="1D1B11"/>
        </w:rPr>
      </w:pPr>
    </w:p>
    <w:p w14:paraId="36FEA2D0" w14:textId="5FDC1808" w:rsidR="00D26AC2" w:rsidRDefault="00D26AC2" w:rsidP="00D26AC2">
      <w:pPr>
        <w:pStyle w:val="Default"/>
        <w:rPr>
          <w:b/>
          <w:lang w:val="en-US"/>
        </w:rPr>
      </w:pPr>
    </w:p>
    <w:p w14:paraId="0702784A" w14:textId="63609A91" w:rsidR="00D26AC2" w:rsidRPr="00D26AC2" w:rsidRDefault="00AA5D9B" w:rsidP="00D26AC2">
      <w:pPr>
        <w:pStyle w:val="Default"/>
        <w:rPr>
          <w:b/>
          <w:lang w:val="en-US"/>
        </w:rPr>
      </w:pPr>
      <w:r>
        <w:rPr>
          <w:noProof/>
        </w:rPr>
        <w:drawing>
          <wp:anchor distT="0" distB="0" distL="114300" distR="114300" simplePos="0" relativeHeight="251658240" behindDoc="0" locked="0" layoutInCell="1" allowOverlap="1" wp14:anchorId="69283544" wp14:editId="34484D49">
            <wp:simplePos x="0" y="0"/>
            <wp:positionH relativeFrom="column">
              <wp:posOffset>4610100</wp:posOffset>
            </wp:positionH>
            <wp:positionV relativeFrom="paragraph">
              <wp:posOffset>12700</wp:posOffset>
            </wp:positionV>
            <wp:extent cx="1924050" cy="6219190"/>
            <wp:effectExtent l="0" t="0" r="0" b="0"/>
            <wp:wrapThrough wrapText="bothSides">
              <wp:wrapPolygon edited="0">
                <wp:start x="0" y="0"/>
                <wp:lineTo x="0" y="21503"/>
                <wp:lineTo x="21386" y="21503"/>
                <wp:lineTo x="21386" y="0"/>
                <wp:lineTo x="0" y="0"/>
              </wp:wrapPolygon>
            </wp:wrapThrough>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pic:cNvPicPr>
                  </pic:nvPicPr>
                  <pic:blipFill rotWithShape="1">
                    <a:blip r:embed="rId6" cstate="print">
                      <a:extLst>
                        <a:ext uri="{28A0092B-C50C-407E-A947-70E740481C1C}">
                          <a14:useLocalDpi xmlns:a14="http://schemas.microsoft.com/office/drawing/2010/main" val="0"/>
                        </a:ext>
                      </a:extLst>
                    </a:blip>
                    <a:srcRect l="9664" t="5739" r="8194" b="5772"/>
                    <a:stretch/>
                  </pic:blipFill>
                  <pic:spPr bwMode="auto">
                    <a:xfrm>
                      <a:off x="0" y="0"/>
                      <a:ext cx="1924050" cy="6219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6AC2" w:rsidRPr="00D26AC2">
        <w:rPr>
          <w:b/>
          <w:lang w:val="en-US"/>
        </w:rPr>
        <w:t xml:space="preserve">Factsheet of </w:t>
      </w:r>
      <w:r w:rsidR="001E6B79">
        <w:rPr>
          <w:b/>
          <w:lang w:val="en-US"/>
        </w:rPr>
        <w:t xml:space="preserve"> </w:t>
      </w:r>
      <w:r w:rsidR="00D26AC2" w:rsidRPr="00D26AC2">
        <w:rPr>
          <w:b/>
          <w:lang w:val="en-US"/>
        </w:rPr>
        <w:t>Vinnae Ribolla Gialla</w:t>
      </w:r>
    </w:p>
    <w:p w14:paraId="04CD6BA7" w14:textId="4D788D7E" w:rsidR="00D26AC2" w:rsidRPr="00FD2CD3" w:rsidRDefault="00D26AC2" w:rsidP="00D26AC2">
      <w:pPr>
        <w:pStyle w:val="Default"/>
        <w:rPr>
          <w:sz w:val="16"/>
          <w:szCs w:val="16"/>
          <w:lang w:val="en-US"/>
        </w:rPr>
      </w:pPr>
    </w:p>
    <w:p w14:paraId="57A7A50E" w14:textId="2B15D257" w:rsidR="00D26AC2" w:rsidRPr="00FD2CD3" w:rsidRDefault="00D26AC2" w:rsidP="00D26AC2">
      <w:pPr>
        <w:pStyle w:val="Default"/>
        <w:jc w:val="both"/>
        <w:rPr>
          <w:b/>
          <w:sz w:val="16"/>
          <w:szCs w:val="16"/>
          <w:lang w:val="en-US"/>
        </w:rPr>
      </w:pPr>
    </w:p>
    <w:p w14:paraId="5573FD8D" w14:textId="2F8E8994" w:rsidR="00D26AC2" w:rsidRPr="00FD2CD3" w:rsidRDefault="00D26AC2" w:rsidP="00D26AC2">
      <w:pPr>
        <w:pStyle w:val="Default"/>
        <w:jc w:val="both"/>
        <w:rPr>
          <w:b/>
          <w:sz w:val="16"/>
          <w:szCs w:val="16"/>
          <w:lang w:val="en-US"/>
        </w:rPr>
      </w:pPr>
    </w:p>
    <w:p w14:paraId="7DFCF18F" w14:textId="0CDB6470" w:rsidR="00D26AC2" w:rsidRPr="00210ECD" w:rsidRDefault="00D26AC2" w:rsidP="00D26AC2">
      <w:pPr>
        <w:pStyle w:val="Default"/>
        <w:ind w:right="4126"/>
        <w:jc w:val="both"/>
        <w:rPr>
          <w:sz w:val="22"/>
          <w:szCs w:val="22"/>
          <w:lang w:val="en-US"/>
        </w:rPr>
      </w:pPr>
      <w:r w:rsidRPr="00210ECD">
        <w:rPr>
          <w:rStyle w:val="Enfasigrassetto"/>
          <w:color w:val="auto"/>
          <w:sz w:val="22"/>
          <w:szCs w:val="22"/>
          <w:lang w:val="en-US"/>
        </w:rPr>
        <w:t>Type of soil</w:t>
      </w:r>
      <w:r w:rsidRPr="00210ECD">
        <w:rPr>
          <w:color w:val="auto"/>
          <w:sz w:val="22"/>
          <w:szCs w:val="22"/>
          <w:lang w:val="en-US"/>
        </w:rPr>
        <w:t xml:space="preserve">: </w:t>
      </w:r>
      <w:r w:rsidRPr="00210ECD">
        <w:rPr>
          <w:sz w:val="22"/>
          <w:szCs w:val="22"/>
          <w:lang w:val="en-US"/>
        </w:rPr>
        <w:t>originated from the Eocene elevation, which determined the spread of an extended zone of colluvial material around it, and marl with sandstone belonging to the “flyschoide” period that have given rise to a rocky substratum.</w:t>
      </w:r>
    </w:p>
    <w:p w14:paraId="32C54912" w14:textId="77777777" w:rsidR="00D26AC2" w:rsidRPr="00210ECD" w:rsidRDefault="00D26AC2" w:rsidP="00D26AC2">
      <w:pPr>
        <w:pStyle w:val="Default"/>
        <w:jc w:val="both"/>
        <w:rPr>
          <w:b/>
          <w:sz w:val="22"/>
          <w:szCs w:val="22"/>
          <w:lang w:val="en-US"/>
        </w:rPr>
      </w:pPr>
    </w:p>
    <w:p w14:paraId="6BCBFC93" w14:textId="362B360C" w:rsidR="00D26AC2" w:rsidRPr="00210ECD" w:rsidRDefault="00D26AC2" w:rsidP="00AA5D9B">
      <w:pPr>
        <w:pStyle w:val="Default"/>
        <w:spacing w:line="360" w:lineRule="auto"/>
        <w:jc w:val="both"/>
        <w:rPr>
          <w:sz w:val="22"/>
          <w:szCs w:val="22"/>
          <w:lang w:val="en-US"/>
        </w:rPr>
      </w:pPr>
      <w:r w:rsidRPr="00210ECD">
        <w:rPr>
          <w:b/>
          <w:sz w:val="22"/>
          <w:szCs w:val="22"/>
          <w:lang w:val="en-US"/>
        </w:rPr>
        <w:t>Grape varieties</w:t>
      </w:r>
      <w:r w:rsidRPr="00210ECD">
        <w:rPr>
          <w:sz w:val="22"/>
          <w:szCs w:val="22"/>
          <w:lang w:val="en-US"/>
        </w:rPr>
        <w:t xml:space="preserve">: mainly Ribolla Gialla  </w:t>
      </w:r>
      <w:r w:rsidRPr="00210ECD">
        <w:rPr>
          <w:sz w:val="22"/>
          <w:szCs w:val="22"/>
          <w:lang w:val="en-US"/>
        </w:rPr>
        <w:tab/>
      </w:r>
    </w:p>
    <w:p w14:paraId="0BA57689" w14:textId="3CA5EB15" w:rsidR="00D26AC2" w:rsidRPr="00210ECD" w:rsidRDefault="00D26AC2" w:rsidP="00AA5D9B">
      <w:pPr>
        <w:pStyle w:val="Default"/>
        <w:spacing w:line="360" w:lineRule="auto"/>
        <w:jc w:val="both"/>
        <w:rPr>
          <w:sz w:val="22"/>
          <w:szCs w:val="22"/>
          <w:lang w:val="en-US"/>
        </w:rPr>
      </w:pPr>
      <w:r w:rsidRPr="00210ECD">
        <w:rPr>
          <w:b/>
          <w:sz w:val="22"/>
          <w:szCs w:val="22"/>
          <w:lang w:val="en-US"/>
        </w:rPr>
        <w:t>Vineyard Sites</w:t>
      </w:r>
      <w:r w:rsidRPr="00210ECD">
        <w:rPr>
          <w:sz w:val="22"/>
          <w:szCs w:val="22"/>
          <w:lang w:val="en-US"/>
        </w:rPr>
        <w:t xml:space="preserve">: East/south </w:t>
      </w:r>
      <w:r w:rsidRPr="00210ECD">
        <w:rPr>
          <w:sz w:val="22"/>
          <w:szCs w:val="22"/>
          <w:lang w:val="en-US"/>
        </w:rPr>
        <w:tab/>
      </w:r>
      <w:r w:rsidRPr="00210ECD">
        <w:rPr>
          <w:sz w:val="22"/>
          <w:szCs w:val="22"/>
          <w:lang w:val="en-US"/>
        </w:rPr>
        <w:tab/>
      </w:r>
      <w:r w:rsidRPr="00210ECD">
        <w:rPr>
          <w:sz w:val="22"/>
          <w:szCs w:val="22"/>
          <w:lang w:val="en-US"/>
        </w:rPr>
        <w:tab/>
      </w:r>
    </w:p>
    <w:p w14:paraId="65C1253B" w14:textId="0E475291" w:rsidR="00D26AC2" w:rsidRPr="00210ECD" w:rsidRDefault="00D26AC2" w:rsidP="00AA5D9B">
      <w:pPr>
        <w:pStyle w:val="Default"/>
        <w:spacing w:line="360" w:lineRule="auto"/>
        <w:jc w:val="both"/>
        <w:rPr>
          <w:sz w:val="22"/>
          <w:szCs w:val="22"/>
          <w:lang w:val="en-US"/>
        </w:rPr>
      </w:pPr>
      <w:r w:rsidRPr="00210ECD">
        <w:rPr>
          <w:rStyle w:val="Enfasigrassetto"/>
          <w:color w:val="1D1B11"/>
          <w:sz w:val="22"/>
          <w:szCs w:val="22"/>
          <w:lang w:val="en-GB"/>
        </w:rPr>
        <w:t>Alcohol content</w:t>
      </w:r>
      <w:r w:rsidRPr="00210ECD">
        <w:rPr>
          <w:sz w:val="22"/>
          <w:szCs w:val="22"/>
          <w:lang w:val="en-US"/>
        </w:rPr>
        <w:t xml:space="preserve">: 12.5%    </w:t>
      </w:r>
      <w:r w:rsidRPr="00210ECD">
        <w:rPr>
          <w:b/>
          <w:sz w:val="22"/>
          <w:szCs w:val="22"/>
          <w:lang w:val="en-US"/>
        </w:rPr>
        <w:t>Acidity</w:t>
      </w:r>
      <w:r w:rsidRPr="00210ECD">
        <w:rPr>
          <w:sz w:val="22"/>
          <w:szCs w:val="22"/>
          <w:lang w:val="en-US"/>
        </w:rPr>
        <w:t xml:space="preserve">: 5.7 - 6.30 ‰ </w:t>
      </w:r>
    </w:p>
    <w:p w14:paraId="3DBE42DE" w14:textId="5ACD334A" w:rsidR="00D26AC2" w:rsidRPr="00AA5D9B" w:rsidRDefault="00D26AC2" w:rsidP="00AA5D9B">
      <w:pPr>
        <w:pStyle w:val="WW-Default"/>
        <w:spacing w:line="360" w:lineRule="auto"/>
        <w:jc w:val="both"/>
        <w:rPr>
          <w:sz w:val="22"/>
          <w:szCs w:val="22"/>
        </w:rPr>
      </w:pPr>
      <w:r w:rsidRPr="00AA5D9B">
        <w:rPr>
          <w:b/>
          <w:sz w:val="22"/>
          <w:szCs w:val="22"/>
        </w:rPr>
        <w:t>First vintage</w:t>
      </w:r>
      <w:r w:rsidRPr="00AA5D9B">
        <w:rPr>
          <w:sz w:val="22"/>
          <w:szCs w:val="22"/>
        </w:rPr>
        <w:t xml:space="preserve">: 1983           </w:t>
      </w:r>
      <w:r w:rsidRPr="00AA5D9B">
        <w:rPr>
          <w:sz w:val="22"/>
          <w:szCs w:val="22"/>
        </w:rPr>
        <w:tab/>
      </w:r>
      <w:r w:rsidRPr="00AA5D9B">
        <w:rPr>
          <w:sz w:val="22"/>
          <w:szCs w:val="22"/>
        </w:rPr>
        <w:tab/>
      </w:r>
      <w:r w:rsidRPr="00AA5D9B">
        <w:rPr>
          <w:sz w:val="22"/>
          <w:szCs w:val="22"/>
        </w:rPr>
        <w:tab/>
      </w:r>
    </w:p>
    <w:p w14:paraId="471810D8" w14:textId="61C0AFCC" w:rsidR="00D26AC2" w:rsidRPr="00AA5D9B" w:rsidRDefault="00D26AC2" w:rsidP="00AA5D9B">
      <w:pPr>
        <w:pStyle w:val="Default"/>
        <w:spacing w:line="360" w:lineRule="auto"/>
        <w:jc w:val="both"/>
        <w:rPr>
          <w:b/>
          <w:sz w:val="22"/>
          <w:szCs w:val="22"/>
        </w:rPr>
      </w:pPr>
      <w:r w:rsidRPr="00AA5D9B">
        <w:rPr>
          <w:b/>
          <w:bCs/>
          <w:sz w:val="22"/>
          <w:szCs w:val="22"/>
        </w:rPr>
        <w:t>Denomination:</w:t>
      </w:r>
      <w:r w:rsidRPr="00AA5D9B">
        <w:rPr>
          <w:sz w:val="22"/>
          <w:szCs w:val="22"/>
        </w:rPr>
        <w:t xml:space="preserve"> </w:t>
      </w:r>
      <w:r w:rsidRPr="00AA5D9B">
        <w:rPr>
          <w:b/>
          <w:bCs/>
          <w:sz w:val="22"/>
          <w:szCs w:val="22"/>
        </w:rPr>
        <w:t>IGT Venezia Giulia</w:t>
      </w:r>
    </w:p>
    <w:p w14:paraId="23B0941C" w14:textId="77777777" w:rsidR="00D26AC2" w:rsidRPr="00210ECD" w:rsidRDefault="00D26AC2" w:rsidP="00AA5D9B">
      <w:pPr>
        <w:pStyle w:val="WW-Default"/>
        <w:spacing w:line="360" w:lineRule="auto"/>
        <w:jc w:val="both"/>
        <w:rPr>
          <w:sz w:val="22"/>
          <w:szCs w:val="22"/>
          <w:lang w:val="en-US"/>
        </w:rPr>
      </w:pPr>
      <w:r w:rsidRPr="00210ECD">
        <w:rPr>
          <w:b/>
          <w:bCs/>
          <w:sz w:val="22"/>
          <w:szCs w:val="22"/>
          <w:lang w:val="en-US"/>
        </w:rPr>
        <w:t>Harvest time:</w:t>
      </w:r>
      <w:r w:rsidRPr="00210ECD">
        <w:rPr>
          <w:sz w:val="22"/>
          <w:szCs w:val="22"/>
          <w:lang w:val="en-US"/>
        </w:rPr>
        <w:t xml:space="preserve"> September</w:t>
      </w:r>
    </w:p>
    <w:p w14:paraId="014B1247" w14:textId="0D35898F" w:rsidR="00D26AC2" w:rsidRPr="00210ECD" w:rsidRDefault="00D26AC2" w:rsidP="00AA5D9B">
      <w:pPr>
        <w:pStyle w:val="Default"/>
        <w:spacing w:line="360" w:lineRule="auto"/>
        <w:jc w:val="both"/>
        <w:rPr>
          <w:sz w:val="22"/>
          <w:szCs w:val="22"/>
          <w:lang w:val="en-US"/>
        </w:rPr>
      </w:pPr>
      <w:r w:rsidRPr="00210ECD">
        <w:rPr>
          <w:b/>
          <w:color w:val="1A0D00"/>
          <w:sz w:val="22"/>
          <w:szCs w:val="22"/>
          <w:lang w:val="en-US"/>
        </w:rPr>
        <w:t>Shelf life</w:t>
      </w:r>
      <w:r w:rsidRPr="00210ECD">
        <w:rPr>
          <w:sz w:val="22"/>
          <w:szCs w:val="22"/>
          <w:lang w:val="en-US"/>
        </w:rPr>
        <w:t>:  4-6 years</w:t>
      </w:r>
    </w:p>
    <w:p w14:paraId="3EE4D393" w14:textId="77777777" w:rsidR="00D26AC2" w:rsidRPr="00210ECD" w:rsidRDefault="00D26AC2" w:rsidP="00D26AC2">
      <w:pPr>
        <w:pStyle w:val="WW-Default"/>
        <w:jc w:val="both"/>
        <w:rPr>
          <w:sz w:val="22"/>
          <w:szCs w:val="22"/>
          <w:lang w:val="en-US"/>
        </w:rPr>
      </w:pPr>
      <w:r w:rsidRPr="00210ECD">
        <w:rPr>
          <w:sz w:val="22"/>
          <w:szCs w:val="22"/>
          <w:lang w:val="en-US"/>
        </w:rPr>
        <w:tab/>
      </w:r>
      <w:r w:rsidRPr="00210ECD">
        <w:rPr>
          <w:sz w:val="22"/>
          <w:szCs w:val="22"/>
          <w:lang w:val="en-US"/>
        </w:rPr>
        <w:tab/>
      </w:r>
    </w:p>
    <w:p w14:paraId="6B95907B" w14:textId="77777777" w:rsidR="00D26AC2" w:rsidRPr="00210ECD" w:rsidRDefault="00D26AC2" w:rsidP="00D26AC2">
      <w:pPr>
        <w:pStyle w:val="WW-Default"/>
        <w:ind w:right="4126"/>
        <w:jc w:val="both"/>
        <w:rPr>
          <w:sz w:val="22"/>
          <w:szCs w:val="22"/>
          <w:lang w:val="en-US"/>
        </w:rPr>
      </w:pPr>
      <w:r w:rsidRPr="00210ECD">
        <w:rPr>
          <w:sz w:val="22"/>
          <w:szCs w:val="22"/>
          <w:lang w:val="en-US"/>
        </w:rPr>
        <w:t xml:space="preserve">It’s also available with </w:t>
      </w:r>
      <w:hyperlink r:id="rId7" w:history="1">
        <w:r w:rsidRPr="00210ECD">
          <w:rPr>
            <w:b/>
            <w:bCs/>
            <w:sz w:val="22"/>
            <w:szCs w:val="22"/>
            <w:lang w:val="en-US"/>
          </w:rPr>
          <w:t>Stelvin screw cap</w:t>
        </w:r>
      </w:hyperlink>
      <w:r w:rsidRPr="00210ECD">
        <w:rPr>
          <w:b/>
          <w:bCs/>
          <w:sz w:val="22"/>
          <w:szCs w:val="22"/>
          <w:lang w:val="en-US"/>
        </w:rPr>
        <w:t xml:space="preserve"> </w:t>
      </w:r>
      <w:r w:rsidRPr="00210ECD">
        <w:rPr>
          <w:sz w:val="22"/>
          <w:szCs w:val="22"/>
          <w:lang w:val="en-US"/>
        </w:rPr>
        <w:t>by the French company Pechiney: we decided for this very technical closure to preserve the fragrance and the organoleptic qualities obtained first in the vineyard and then in the cellar.</w:t>
      </w:r>
    </w:p>
    <w:p w14:paraId="63D4B5F8" w14:textId="293526AC" w:rsidR="00D26AC2" w:rsidRPr="00210ECD" w:rsidRDefault="00D26AC2" w:rsidP="00D26AC2">
      <w:pPr>
        <w:pStyle w:val="Default"/>
        <w:ind w:right="4126"/>
        <w:jc w:val="both"/>
        <w:rPr>
          <w:sz w:val="22"/>
          <w:szCs w:val="22"/>
          <w:lang w:val="en-US"/>
        </w:rPr>
      </w:pPr>
      <w:r w:rsidRPr="00210ECD">
        <w:rPr>
          <w:b/>
          <w:sz w:val="22"/>
          <w:szCs w:val="22"/>
          <w:lang w:val="en-US"/>
        </w:rPr>
        <w:t>Tasting notes</w:t>
      </w:r>
      <w:r w:rsidRPr="00210ECD">
        <w:rPr>
          <w:sz w:val="22"/>
          <w:szCs w:val="22"/>
          <w:lang w:val="en-US"/>
        </w:rPr>
        <w:t xml:space="preserve">: It has a bright, pale straw shade and fruit aromas with a mineral undertone. On the palate it is dry, fresh and tangy with the unassuming elegance of an authentic country wine. Vinnae is delicious as an aperitif and it is also an excellent match for seafood starters and first course dishes with fish. Its freshness and irresistible drinkability make it an ideal summer white. </w:t>
      </w:r>
    </w:p>
    <w:p w14:paraId="7255CB86" w14:textId="77777777" w:rsidR="00D26AC2" w:rsidRPr="00210ECD" w:rsidRDefault="00D26AC2" w:rsidP="00D26AC2">
      <w:pPr>
        <w:pStyle w:val="Default"/>
        <w:ind w:right="4126"/>
        <w:jc w:val="both"/>
        <w:rPr>
          <w:sz w:val="22"/>
          <w:szCs w:val="22"/>
          <w:lang w:val="en-US"/>
        </w:rPr>
      </w:pPr>
      <w:r w:rsidRPr="00210ECD">
        <w:rPr>
          <w:b/>
          <w:sz w:val="22"/>
          <w:szCs w:val="22"/>
          <w:lang w:val="en-US"/>
        </w:rPr>
        <w:t>History</w:t>
      </w:r>
      <w:r w:rsidRPr="00210ECD">
        <w:rPr>
          <w:sz w:val="22"/>
          <w:szCs w:val="22"/>
          <w:lang w:val="en-US"/>
        </w:rPr>
        <w:t>:  The name Vinnae was created for the 1983 vintage to celebrate the birth of Silvio Jermann’s second son and to commemorate the Jermann family’s 100 years of winemaking at Villanova. Five generations of the family have cultivated Ribolla in the Collio vineyards of the village, earning themselves the title of “vinnaioli” or “wine growers”; hence the choice of the name “Vinnae” of this Ribolla-based wine</w:t>
      </w:r>
    </w:p>
    <w:p w14:paraId="12B972F1" w14:textId="4723906E" w:rsidR="00D26AC2" w:rsidRPr="001E6B79" w:rsidRDefault="00D26AC2" w:rsidP="001E6B79">
      <w:pPr>
        <w:pStyle w:val="Default"/>
        <w:ind w:right="4126"/>
        <w:jc w:val="both"/>
        <w:rPr>
          <w:sz w:val="22"/>
          <w:szCs w:val="22"/>
          <w:lang w:val="en-US"/>
        </w:rPr>
      </w:pPr>
      <w:r w:rsidRPr="00210ECD">
        <w:rPr>
          <w:sz w:val="22"/>
          <w:szCs w:val="22"/>
          <w:lang w:val="en-US"/>
        </w:rPr>
        <w:t>The label was restyled in 2004 with the addition of a symbol of the Jermann family’s Austrio-Hungarian origins, a double-headed eagle found on an old barrel belonging to Silvio Jermann’s great grandfather Anton. The phrase “</w:t>
      </w:r>
      <w:r w:rsidR="001E6B79" w:rsidRPr="001E6B79">
        <w:rPr>
          <w:sz w:val="22"/>
          <w:szCs w:val="22"/>
          <w:lang w:val="en-US"/>
        </w:rPr>
        <w:t>Servus Cella</w:t>
      </w:r>
      <w:r w:rsidRPr="00210ECD">
        <w:rPr>
          <w:sz w:val="22"/>
          <w:szCs w:val="22"/>
          <w:lang w:val="en-US"/>
        </w:rPr>
        <w:t xml:space="preserve">” </w:t>
      </w:r>
      <w:r w:rsidR="001E6B79" w:rsidRPr="001E6B79">
        <w:rPr>
          <w:sz w:val="22"/>
          <w:szCs w:val="22"/>
          <w:lang w:val="en-US"/>
        </w:rPr>
        <w:t>is the winery's greeting</w:t>
      </w:r>
      <w:r w:rsidR="00A82D99">
        <w:rPr>
          <w:sz w:val="22"/>
          <w:szCs w:val="22"/>
          <w:lang w:val="en-US"/>
        </w:rPr>
        <w:t>.</w:t>
      </w:r>
    </w:p>
    <w:p w14:paraId="6F7B36C1" w14:textId="77777777" w:rsidR="00D26AC2" w:rsidRPr="00D26AC2" w:rsidRDefault="00D26AC2" w:rsidP="00D26AC2">
      <w:pPr>
        <w:rPr>
          <w:rFonts w:ascii="Garamond" w:hAnsi="Garamond"/>
          <w:sz w:val="22"/>
          <w:szCs w:val="22"/>
          <w:lang w:val="en-US"/>
        </w:rPr>
      </w:pPr>
    </w:p>
    <w:p w14:paraId="7465A644" w14:textId="77777777" w:rsidR="008D239D" w:rsidRPr="00D26AC2" w:rsidRDefault="008D239D">
      <w:pPr>
        <w:rPr>
          <w:lang w:val="en-US"/>
        </w:rPr>
      </w:pPr>
    </w:p>
    <w:sectPr w:rsidR="008D239D" w:rsidRPr="00D26AC2" w:rsidSect="00C6529A">
      <w:headerReference w:type="default" r:id="rId8"/>
      <w:footerReference w:type="default" r:id="rId9"/>
      <w:pgSz w:w="11906" w:h="16838"/>
      <w:pgMar w:top="357" w:right="926" w:bottom="357" w:left="90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91CE" w14:textId="77777777" w:rsidR="00756D55" w:rsidRDefault="00AA5D9B">
      <w:r>
        <w:separator/>
      </w:r>
    </w:p>
  </w:endnote>
  <w:endnote w:type="continuationSeparator" w:id="0">
    <w:p w14:paraId="6D360751" w14:textId="77777777" w:rsidR="00756D55" w:rsidRDefault="00AA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Pro-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8A7F" w14:textId="77777777" w:rsidR="00A82D99" w:rsidRDefault="00210ECD" w:rsidP="00C6529A">
    <w:pPr>
      <w:spacing w:line="276" w:lineRule="auto"/>
      <w:ind w:left="-180" w:right="-180"/>
      <w:jc w:val="center"/>
      <w:rPr>
        <w:color w:val="361B00"/>
        <w:sz w:val="18"/>
        <w:szCs w:val="18"/>
      </w:rPr>
    </w:pPr>
    <w:r w:rsidRPr="00EA7106">
      <w:rPr>
        <w:color w:val="361B00"/>
        <w:sz w:val="18"/>
        <w:szCs w:val="18"/>
      </w:rPr>
      <w:t xml:space="preserve">Jermann </w:t>
    </w:r>
    <w:r>
      <w:rPr>
        <w:color w:val="361B00"/>
        <w:sz w:val="18"/>
        <w:szCs w:val="18"/>
      </w:rPr>
      <w:t>S.r.l. Società Agricola</w:t>
    </w:r>
  </w:p>
  <w:p w14:paraId="3AABF045" w14:textId="77777777" w:rsidR="00A82D99" w:rsidRPr="00EA7106" w:rsidRDefault="00A82D99" w:rsidP="00C6529A">
    <w:pPr>
      <w:spacing w:line="276" w:lineRule="auto"/>
      <w:ind w:left="-180" w:right="-180"/>
      <w:jc w:val="center"/>
      <w:rPr>
        <w:color w:val="361B00"/>
        <w:sz w:val="18"/>
        <w:szCs w:val="18"/>
      </w:rPr>
    </w:pPr>
    <w:hyperlink r:id="rId1" w:history="1">
      <w:r w:rsidR="00210ECD" w:rsidRPr="00EA7106">
        <w:rPr>
          <w:rStyle w:val="Collegamentoipertestuale"/>
          <w:color w:val="361B00"/>
          <w:sz w:val="18"/>
          <w:szCs w:val="18"/>
        </w:rPr>
        <w:t>www.jermann.it</w:t>
      </w:r>
    </w:hyperlink>
    <w:r w:rsidR="00210ECD" w:rsidRPr="00EA7106">
      <w:rPr>
        <w:color w:val="361B00"/>
        <w:sz w:val="18"/>
        <w:szCs w:val="18"/>
      </w:rPr>
      <w:t xml:space="preserve">  info@jermann.it</w:t>
    </w:r>
  </w:p>
  <w:p w14:paraId="712D6181" w14:textId="77777777" w:rsidR="00A82D99" w:rsidRDefault="00A82D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B8A1" w14:textId="77777777" w:rsidR="00756D55" w:rsidRDefault="00AA5D9B">
      <w:r>
        <w:separator/>
      </w:r>
    </w:p>
  </w:footnote>
  <w:footnote w:type="continuationSeparator" w:id="0">
    <w:p w14:paraId="67978298" w14:textId="77777777" w:rsidR="00756D55" w:rsidRDefault="00AA5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C645" w14:textId="77777777" w:rsidR="00A82D99" w:rsidRDefault="00210ECD">
    <w:pPr>
      <w:pStyle w:val="Intestazione"/>
    </w:pPr>
    <w:r>
      <w:rPr>
        <w:noProof/>
      </w:rPr>
      <w:drawing>
        <wp:anchor distT="0" distB="0" distL="114300" distR="114300" simplePos="0" relativeHeight="251659264" behindDoc="1" locked="0" layoutInCell="1" allowOverlap="1" wp14:anchorId="7A4C3A4D" wp14:editId="5965A192">
          <wp:simplePos x="0" y="0"/>
          <wp:positionH relativeFrom="column">
            <wp:posOffset>2171700</wp:posOffset>
          </wp:positionH>
          <wp:positionV relativeFrom="paragraph">
            <wp:posOffset>-109220</wp:posOffset>
          </wp:positionV>
          <wp:extent cx="2363470" cy="603885"/>
          <wp:effectExtent l="0" t="0" r="0" b="5715"/>
          <wp:wrapNone/>
          <wp:docPr id="28" name="Immagine 28" descr="LOGOESAGONO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ESAGONO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470" cy="603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C2"/>
    <w:rsid w:val="001E6B79"/>
    <w:rsid w:val="00210ECD"/>
    <w:rsid w:val="0044576B"/>
    <w:rsid w:val="00485CCC"/>
    <w:rsid w:val="0049363A"/>
    <w:rsid w:val="00756D55"/>
    <w:rsid w:val="008D239D"/>
    <w:rsid w:val="00A82D99"/>
    <w:rsid w:val="00AA5D9B"/>
    <w:rsid w:val="00D26AC2"/>
    <w:rsid w:val="00F20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F9A6"/>
  <w15:chartTrackingRefBased/>
  <w15:docId w15:val="{15FAE3AF-A81F-43A9-B620-BC417A90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6AC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26AC2"/>
    <w:rPr>
      <w:color w:val="0000FF"/>
      <w:u w:val="single"/>
    </w:rPr>
  </w:style>
  <w:style w:type="paragraph" w:styleId="Intestazione">
    <w:name w:val="header"/>
    <w:basedOn w:val="Normale"/>
    <w:link w:val="IntestazioneCarattere"/>
    <w:uiPriority w:val="99"/>
    <w:rsid w:val="00D26AC2"/>
    <w:pPr>
      <w:tabs>
        <w:tab w:val="center" w:pos="4819"/>
        <w:tab w:val="right" w:pos="9638"/>
      </w:tabs>
    </w:pPr>
  </w:style>
  <w:style w:type="character" w:customStyle="1" w:styleId="IntestazioneCarattere">
    <w:name w:val="Intestazione Carattere"/>
    <w:basedOn w:val="Carpredefinitoparagrafo"/>
    <w:link w:val="Intestazione"/>
    <w:uiPriority w:val="99"/>
    <w:rsid w:val="00D26AC2"/>
    <w:rPr>
      <w:rFonts w:ascii="Times New Roman" w:eastAsia="Times New Roman" w:hAnsi="Times New Roman" w:cs="Times New Roman"/>
      <w:sz w:val="24"/>
      <w:szCs w:val="24"/>
      <w:lang w:eastAsia="it-IT"/>
    </w:rPr>
  </w:style>
  <w:style w:type="paragraph" w:styleId="Pidipagina">
    <w:name w:val="footer"/>
    <w:basedOn w:val="Normale"/>
    <w:link w:val="PidipaginaCarattere"/>
    <w:rsid w:val="00D26AC2"/>
    <w:pPr>
      <w:tabs>
        <w:tab w:val="center" w:pos="4819"/>
        <w:tab w:val="right" w:pos="9638"/>
      </w:tabs>
    </w:pPr>
  </w:style>
  <w:style w:type="character" w:customStyle="1" w:styleId="PidipaginaCarattere">
    <w:name w:val="Piè di pagina Carattere"/>
    <w:basedOn w:val="Carpredefinitoparagrafo"/>
    <w:link w:val="Pidipagina"/>
    <w:rsid w:val="00D26AC2"/>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D26AC2"/>
    <w:pPr>
      <w:spacing w:after="120"/>
      <w:ind w:left="283"/>
    </w:pPr>
  </w:style>
  <w:style w:type="character" w:customStyle="1" w:styleId="RientrocorpodeltestoCarattere">
    <w:name w:val="Rientro corpo del testo Carattere"/>
    <w:basedOn w:val="Carpredefinitoparagrafo"/>
    <w:link w:val="Rientrocorpodeltesto"/>
    <w:rsid w:val="00D26AC2"/>
    <w:rPr>
      <w:rFonts w:ascii="Times New Roman" w:eastAsia="Times New Roman" w:hAnsi="Times New Roman" w:cs="Times New Roman"/>
      <w:sz w:val="24"/>
      <w:szCs w:val="24"/>
      <w:lang w:eastAsia="it-IT"/>
    </w:rPr>
  </w:style>
  <w:style w:type="paragraph" w:customStyle="1" w:styleId="WW-Default">
    <w:name w:val="WW-Default"/>
    <w:rsid w:val="00D26AC2"/>
    <w:pPr>
      <w:suppressAutoHyphens/>
      <w:autoSpaceDE w:val="0"/>
      <w:spacing w:after="0" w:line="240" w:lineRule="auto"/>
    </w:pPr>
    <w:rPr>
      <w:rFonts w:ascii="Garamond" w:eastAsia="Times New Roman" w:hAnsi="Garamond" w:cs="Garamond"/>
      <w:color w:val="000000"/>
      <w:sz w:val="24"/>
      <w:szCs w:val="24"/>
      <w:lang w:eastAsia="ar-SA"/>
    </w:rPr>
  </w:style>
  <w:style w:type="paragraph" w:customStyle="1" w:styleId="Rientrocorpodeltesto31">
    <w:name w:val="Rientro corpo del testo 31"/>
    <w:basedOn w:val="Normale"/>
    <w:rsid w:val="00D26AC2"/>
    <w:pPr>
      <w:suppressAutoHyphens/>
      <w:spacing w:after="120"/>
      <w:ind w:left="283"/>
    </w:pPr>
    <w:rPr>
      <w:sz w:val="16"/>
      <w:szCs w:val="16"/>
      <w:lang w:eastAsia="ar-SA"/>
    </w:rPr>
  </w:style>
  <w:style w:type="paragraph" w:customStyle="1" w:styleId="Default">
    <w:name w:val="Default"/>
    <w:rsid w:val="00D26AC2"/>
    <w:pPr>
      <w:autoSpaceDE w:val="0"/>
      <w:autoSpaceDN w:val="0"/>
      <w:adjustRightInd w:val="0"/>
      <w:spacing w:after="0" w:line="240" w:lineRule="auto"/>
    </w:pPr>
    <w:rPr>
      <w:rFonts w:ascii="Garamond" w:eastAsia="Times New Roman" w:hAnsi="Garamond" w:cs="Garamond"/>
      <w:color w:val="000000"/>
      <w:sz w:val="24"/>
      <w:szCs w:val="24"/>
      <w:lang w:eastAsia="it-IT"/>
    </w:rPr>
  </w:style>
  <w:style w:type="character" w:styleId="Enfasigrassetto">
    <w:name w:val="Strong"/>
    <w:qFormat/>
    <w:rsid w:val="00D26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ermann.it/italian/news/news/news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erman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Ruttars - Jermann</dc:creator>
  <cp:keywords/>
  <dc:description/>
  <cp:lastModifiedBy>Tiziana Festa</cp:lastModifiedBy>
  <cp:revision>3</cp:revision>
  <cp:lastPrinted>2023-08-25T12:23:00Z</cp:lastPrinted>
  <dcterms:created xsi:type="dcterms:W3CDTF">2023-08-25T12:22:00Z</dcterms:created>
  <dcterms:modified xsi:type="dcterms:W3CDTF">2023-08-25T12:24:00Z</dcterms:modified>
</cp:coreProperties>
</file>